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entury Gothic" w:cs="Century Gothic" w:eastAsia="Century Gothic" w:hAnsi="Century Gothic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rtl w:val="0"/>
        </w:rPr>
        <w:t xml:space="preserve">98% de las empresas en México reconocen que pueden mejorar su gestión financiera: estudio de la ASEM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rtl w:val="0"/>
        </w:rPr>
        <w:t xml:space="preserve"> y Siigo Aspel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La mayoría de las empresas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identifica l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 capacitación del personal, la implementación de nuevos procesos y la adopción de software administrativo, como aspectos clave para mejorar su gestión financiera.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Las empresas que utilizan software administrativo y contable facturan 1,317% más que las que aún no cuentan con este tipo de plataformas digitales.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ólo 35% de las empresas recibe asesoría de las áreas contables para la toma de decisiones financieras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36.5% de las empresas incorpora inteligencia artificial (IA) en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su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gestión financiera, principalmente para calcular precios y costos, y gestionar inventarios.</w:t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Asociación de Emprendedores de México (ASEM), en colaboración con Siigo Aspel, presentaron los resultados del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Estudio de Gestión Financiera y Contable de las Empresas en México 2025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que revelan cómo la combinación de talento especializado y tecnología marca la diferencia en la sostenibilidad y crecimiento de las empresas mexicanas.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Durante la presentación se mencionó que las empresas que utilizan software administrativo y contable facturan 1,317% más que las que no lo hacen. La diferencia no solo se refleja en ingresos: cuando el conocimiento del personal se combina con herramientas tecnológicas, las organizaciones implementan hasta 74% más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controles internos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como el control de gastos por unidad de negocio, el control de inventario, una política de pago de proveedores, entre otros. Lo anterior contribuye a reducir errores, mitigar riesgos y reforzar la transparencia en la operación.</w:t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investigación es resultado de una encuesta nacional en la que participaron cerca de 500 fundadores, directores y líderes de administración y finanzas de MIPYMES y grandes empresas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 todos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los sectores económicos, en las 32 entidades de México.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Este nuevo levantamiento surge tras los hallazgos de la Radiografía del Emprendimiento en México 2024, que reveló que los principales motivos de fracaso empresarial están directamente relacionados con problemas financieros y administrativos.</w:t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El nuevo estudio sobre gestión financiera y contable señala que el 99.7% de las empresas mexicanas que operan sin personal especializado en áreas de administración y contabilidad son microempresas,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una condición que marca la diferencia entre las empresas que logran consolidarse y crecer, y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que solo sobreviven. </w:t>
      </w:r>
    </w:p>
    <w:p w:rsidR="00000000" w:rsidDel="00000000" w:rsidP="00000000" w:rsidRDefault="00000000" w:rsidRPr="00000000" w14:paraId="00000011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Juana Ramírez, Presidenta del Consejo Directivo de la ASEM afirmó que  la falta de liquidez, los problemas para acceder a financiamiento y la mala administración, son algunas de las principales causas de cierre de las empresas en México. En colaboración con Siigo Aspel seguiremos impulsando esfuerzos para capacitar a las empresas con el fin de mejorar su gestión financiera y que estas comiencen a considerar a las y los contadores como asesores para la toma de decisiones financieras”.</w:t>
      </w:r>
    </w:p>
    <w:p w:rsidR="00000000" w:rsidDel="00000000" w:rsidP="00000000" w:rsidRDefault="00000000" w:rsidRPr="00000000" w14:paraId="0000001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Por su parte David Ortiz, CEO de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Siigo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Latam, señaló que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“operar sin profesionales en finanzas y contabilidad implica tomar decisiones con información limitada, sin planeación del flujo de efectivo y sin estructuras que permitan evaluar riesgos. El uso de software administrativo y contable ayuda a compensar esta ausencia en las empresas, fortaleciendo sus procesos y dándoles una base para crecer y, eventualmente, contratar personal especializado. La tecnología, en este sentido, es una herramienta clave para potenciar la gestión y productividad de las empresas”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El análisis confirma que el trabajo contable en las empresas aún se centra principalmente en tareas operativas: 83% de las áreas contables se dedican al cumplimiento fiscal y 73% al registro de operaciones.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Sin embargo, sólo 35% de las empresas recibe asesoría de estas áreas para la toma de decisiones financieras, lo que representa una gran oportunidad para aprovechar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información como insumo estratégico para fortalecer la planeación y la inversión.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En este sentido, como parte de las recomendaciones, el estudio sugiere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incorporar a los planes de estudios de las licenciaturas en Contabilidad, formación para el acompañamiento de las y los profesionales contables para la toma de decisiones estratégicas de las empresas.</w:t>
      </w:r>
    </w:p>
    <w:p w:rsidR="00000000" w:rsidDel="00000000" w:rsidP="00000000" w:rsidRDefault="00000000" w:rsidRPr="00000000" w14:paraId="00000019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Uso de la inteligencia artificial (IA) para la gestión financiera y administrativa</w:t>
      </w:r>
    </w:p>
    <w:p w:rsidR="00000000" w:rsidDel="00000000" w:rsidP="00000000" w:rsidRDefault="00000000" w:rsidRPr="00000000" w14:paraId="0000001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En los procesos administrativos y contables, la publicación indica que el 36.5% de las empresas ya incorpora la IA, principalmente para definir precios (38.0%), administrar inventarios (37.2%) y evaluar costos (35.8%). Aunque su uso aún no destaca en áreas críticas como cuentas por cobrar (23%) y gestión de proveedores (19.4%), lo que refleja un amplio campo de oportunidad para robustecer la digitalización financiera.</w:t>
      </w:r>
    </w:p>
    <w:p w:rsidR="00000000" w:rsidDel="00000000" w:rsidP="00000000" w:rsidRDefault="00000000" w:rsidRPr="00000000" w14:paraId="0000001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Sin embargo, l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adopción de IA no es generalizada, pues las empresas que la usan son las de mayores ingresos, que cuentan con más personal contratado y experiencia en el uso de plataformas digitales en estas áreas.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¿Quiénes toman las decisiones financieras en las empresas?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Otro de los hallazgos revela que 65.5% de quienes toman las decisiones financieras de las empresas son hombres, en su mayoría mayores de 36 años y con estudios de licenciatura o posgrado. Y, mientras que 24.1% de los hombres tomadores de decisiones tiene más de 56 años de edad, en contraste, sólo hay 8.6% de mujeres líderes de finanzas en ese rango de edad, lo que limita la diversidad de perspectivas en decisiones clave para la gestión empresarial y refleja la necesidad de impulsar una mayor inclusión femenina en posiciones de liderazgo financiero.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publicación también demuestra que la capacitación y los procesos son la prioridad de mejora. El 98% de las empresas reconoce que debe fortalecer su gestión financiera, señalando como focos principales la administración diaria (47.9%), las proyecciones financieras (45.1%) y la planificación de flujo (35%). Para ello, la mayoría identifica que la capacitación del personal, la implementación de nuevos procesos y la adopción de software administrativo son las vías más efectivas para consolidar una gestión más sólida, moderna y orientada a resultados.</w:t>
      </w:r>
    </w:p>
    <w:p w:rsidR="00000000" w:rsidDel="00000000" w:rsidP="00000000" w:rsidRDefault="00000000" w:rsidRPr="00000000" w14:paraId="0000002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Los resultados de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 estudio se encuentran disponibles, en formato de infografía e informe, para su consulta gratuita en: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asem.mx/investigacion</w:t>
        </w:r>
      </w:hyperlink>
      <w:hyperlink r:id="rId8">
        <w:r w:rsidDel="00000000" w:rsidR="00000000" w:rsidRPr="00000000">
          <w:rPr>
            <w:rFonts w:ascii="Century Gothic" w:cs="Century Gothic" w:eastAsia="Century Gothic" w:hAnsi="Century Gothic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310.79999999999995" w:lineRule="auto"/>
        <w:jc w:val="both"/>
        <w:rPr>
          <w:rFonts w:ascii="Century Gothic" w:cs="Century Gothic" w:eastAsia="Century Gothic" w:hAnsi="Century Gothic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8"/>
          <w:szCs w:val="18"/>
          <w:u w:val="single"/>
          <w:rtl w:val="0"/>
        </w:rPr>
        <w:t xml:space="preserve">Acerca de la ASEM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Es una asociación sin fines de lucro que trabaja para hacer de México el mejor país para emprender y hacer negocios. Con más de 40 mil socias y socios, es el movimiento de emprendedores para emprendedores, que representa a las personas fundadoras de empresas en México. ASEM promueve y defiende el emprendimiento a través de un modelo de trabajo que representa las principales necesidades de los emprendedores. Conoce más en: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i w:val="1"/>
            <w:color w:val="1155cc"/>
            <w:sz w:val="16"/>
            <w:szCs w:val="16"/>
            <w:u w:val="single"/>
            <w:rtl w:val="0"/>
          </w:rPr>
          <w:t xml:space="preserve">www.asem.mx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8"/>
          <w:szCs w:val="18"/>
          <w:u w:val="single"/>
          <w:rtl w:val="0"/>
        </w:rPr>
        <w:t xml:space="preserve">Acerca de Siigo Aspel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Es una empresa mexicana líder en el mercado de software administrativo, que brinda servicio a más de 1.2 millones de empresas en México y Latinoamérica. ​ 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en la Nube 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Desde febrero de 2022, Aspel fue adquirido por Siigo, compañía colombiana líder en Latinoamérica cuyo propósito es transformar la vida de contadores, empresarios y colaboradores, con el objetivo de fortalecer su estructura tecnológica. Siigo Latam está conformado también por la compañía Memory en Uruguay, Kame en Chile y Contífico en Ecuador y cuenta con más de 3.000 colaboradores y expertos en el desarrollo de herramientas tecnológicas quienes ayudan a transformar la vida de más de 1.2 millones de contadores y empresarios en Latinoamérica. Con presencia en 5 países, Siigo Latam invierte más del 20% de sus ingresos en tecnología e innovación, con el fin de potenciar su ecosistema tecnológico.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.0000000000002" w:top="1133.8582677165355" w:left="1440.0000000000002" w:right="1043.14960629921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-325274</wp:posOffset>
              </wp:positionH>
              <wp:positionV relativeFrom="paragraph">
                <wp:posOffset>-158161</wp:posOffset>
              </wp:positionV>
              <wp:extent cx="6379200" cy="1447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1600" y="1078500"/>
                        <a:ext cx="83463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EFEFEF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-325274</wp:posOffset>
              </wp:positionH>
              <wp:positionV relativeFrom="paragraph">
                <wp:posOffset>-158161</wp:posOffset>
              </wp:positionV>
              <wp:extent cx="6379200" cy="14476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9200" cy="144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-323849</wp:posOffset>
          </wp:positionH>
          <wp:positionV relativeFrom="paragraph">
            <wp:posOffset>80776</wp:posOffset>
          </wp:positionV>
          <wp:extent cx="973931" cy="101674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3931" cy="1016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5353050</wp:posOffset>
          </wp:positionH>
          <wp:positionV relativeFrom="paragraph">
            <wp:posOffset>-9524</wp:posOffset>
          </wp:positionV>
          <wp:extent cx="704850" cy="1905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1495750" cy="474063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5750" cy="474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528763" cy="445889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445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asem.mx" TargetMode="External"/><Relationship Id="rId5" Type="http://schemas.openxmlformats.org/officeDocument/2006/relationships/styles" Target="styles.xml"/><Relationship Id="rId6" Type="http://schemas.openxmlformats.org/officeDocument/2006/relationships/hyperlink" Target="https://asem.mx/investigacion/" TargetMode="External"/><Relationship Id="rId7" Type="http://schemas.openxmlformats.org/officeDocument/2006/relationships/hyperlink" Target="http://asem.mx/investigacion" TargetMode="External"/><Relationship Id="rId8" Type="http://schemas.openxmlformats.org/officeDocument/2006/relationships/hyperlink" Target="http://asem.mx/investigac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